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Layout w:type="autofit"/>
        <w:tblCellMar>
          <w:top w:w="0" w:type="dxa"/>
          <w:left w:w="108" w:type="dxa"/>
          <w:bottom w:w="0" w:type="dxa"/>
          <w:right w:w="108" w:type="dxa"/>
        </w:tblCellMar>
      </w:tblPr>
      <w:tblGrid>
        <w:gridCol w:w="3369"/>
        <w:gridCol w:w="5919"/>
      </w:tblGrid>
      <w:tr>
        <w:tblPrEx>
          <w:tblCellMar>
            <w:top w:w="0" w:type="dxa"/>
            <w:left w:w="108" w:type="dxa"/>
            <w:bottom w:w="0" w:type="dxa"/>
            <w:right w:w="108" w:type="dxa"/>
          </w:tblCellMar>
        </w:tblPrEx>
        <w:trPr>
          <w:trHeight w:val="850" w:hRule="atLeast"/>
        </w:trPr>
        <w:tc>
          <w:tcPr>
            <w:tcW w:w="3369" w:type="dxa"/>
            <w:shd w:val="clear" w:color="auto" w:fill="auto"/>
          </w:tcPr>
          <w:p>
            <w:pPr>
              <w:spacing w:after="0" w:line="240" w:lineRule="auto"/>
              <w:jc w:val="center"/>
              <w:rPr>
                <w:rFonts w:eastAsia="Times New Roman"/>
                <w:b/>
                <w:bCs/>
                <w:sz w:val="26"/>
                <w:szCs w:val="26"/>
                <w:highlight w:val="white"/>
              </w:rPr>
            </w:pPr>
            <w:bookmarkStart w:id="1" w:name="_GoBack"/>
            <w:bookmarkEnd w:id="1"/>
            <w:r>
              <w:rPr>
                <w:rFonts w:eastAsia="Times New Roman"/>
                <w:szCs w:val="28"/>
                <w:highlight w:val="white"/>
              </w:rPr>
              <mc:AlternateContent>
                <mc:Choice Requires="wps">
                  <w:drawing>
                    <wp:anchor distT="0" distB="0" distL="114300" distR="114300" simplePos="0" relativeHeight="251659264" behindDoc="0" locked="0" layoutInCell="1" allowOverlap="1">
                      <wp:simplePos x="0" y="0"/>
                      <wp:positionH relativeFrom="column">
                        <wp:posOffset>716280</wp:posOffset>
                      </wp:positionH>
                      <wp:positionV relativeFrom="paragraph">
                        <wp:posOffset>398780</wp:posOffset>
                      </wp:positionV>
                      <wp:extent cx="523875" cy="0"/>
                      <wp:effectExtent l="0" t="0" r="9525" b="19050"/>
                      <wp:wrapNone/>
                      <wp:docPr id="4" name="Straight Connector 4"/>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6.4pt;margin-top:31.4pt;height:0pt;width:41.25pt;z-index:251659264;mso-width-relative:page;mso-height-relative:page;" filled="f" stroked="t" coordsize="21600,21600" o:gfxdata="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5uQwL1gAAAAkBAAAPAAAAAAAAAAEAIAAAACIA&#10;AABkcnMvZG93bnJldi54bWxQSwECFAAUAAAACACHTuJAV8mLo9IBAACsAwAADgAAAAAAAAABACAA&#10;AAAlAQAAZHJzL2Uyb0RvYy54bWxQSwUGAAAAAAYABgBZAQAAaQUAAAAA&#10;">
                      <v:fill on="f" focussize="0,0"/>
                      <v:stroke color="#000000" joinstyle="round"/>
                      <v:imagedata o:title=""/>
                      <o:lock v:ext="edit" aspectratio="f"/>
                    </v:line>
                  </w:pict>
                </mc:Fallback>
              </mc:AlternateContent>
            </w:r>
            <w:r>
              <w:rPr>
                <w:rFonts w:eastAsia="Times New Roman"/>
                <w:b/>
                <w:bCs/>
                <w:sz w:val="26"/>
                <w:szCs w:val="26"/>
                <w:highlight w:val="white"/>
              </w:rPr>
              <w:t>HỘI ĐỒNG NHÂN DÂN TỈNH KON TUM</w:t>
            </w:r>
          </w:p>
        </w:tc>
        <w:tc>
          <w:tcPr>
            <w:tcW w:w="5919" w:type="dxa"/>
            <w:shd w:val="clear" w:color="auto" w:fill="auto"/>
          </w:tcPr>
          <w:p>
            <w:pPr>
              <w:spacing w:after="0" w:line="240" w:lineRule="auto"/>
              <w:jc w:val="center"/>
              <w:rPr>
                <w:rFonts w:eastAsia="Times New Roman"/>
                <w:b/>
                <w:bCs/>
                <w:sz w:val="26"/>
                <w:szCs w:val="26"/>
                <w:highlight w:val="white"/>
              </w:rPr>
            </w:pPr>
            <w:r>
              <w:rPr>
                <w:rFonts w:eastAsia="Times New Roman"/>
                <w:b/>
                <w:bCs/>
                <w:sz w:val="26"/>
                <w:szCs w:val="26"/>
                <w:highlight w:val="white"/>
              </w:rPr>
              <w:t>CỘNG HÒA XÃ HỘI CHỦ NGHĨA VIỆT NAM</w:t>
            </w:r>
          </w:p>
          <w:p>
            <w:pPr>
              <w:spacing w:after="0" w:line="240" w:lineRule="auto"/>
              <w:jc w:val="center"/>
              <w:rPr>
                <w:rFonts w:eastAsia="Times New Roman"/>
                <w:b/>
                <w:bCs/>
                <w:sz w:val="26"/>
                <w:szCs w:val="26"/>
                <w:highlight w:val="white"/>
              </w:rPr>
            </w:pPr>
            <w:r>
              <w:rPr>
                <w:rFonts w:eastAsia="Times New Roman"/>
                <w:sz w:val="26"/>
                <w:szCs w:val="26"/>
                <w:highlight w:val="white"/>
              </w:rPr>
              <mc:AlternateContent>
                <mc:Choice Requires="wps">
                  <w:drawing>
                    <wp:anchor distT="0" distB="0" distL="114300" distR="114300" simplePos="0" relativeHeight="251660288" behindDoc="0" locked="0" layoutInCell="1" allowOverlap="1">
                      <wp:simplePos x="0" y="0"/>
                      <wp:positionH relativeFrom="column">
                        <wp:posOffset>718820</wp:posOffset>
                      </wp:positionH>
                      <wp:positionV relativeFrom="paragraph">
                        <wp:posOffset>218440</wp:posOffset>
                      </wp:positionV>
                      <wp:extent cx="2159000" cy="0"/>
                      <wp:effectExtent l="0" t="0" r="12700" b="19050"/>
                      <wp:wrapNone/>
                      <wp:docPr id="3" name="Straight Connector 3"/>
                      <wp:cNvGraphicFramePr/>
                      <a:graphic xmlns:a="http://schemas.openxmlformats.org/drawingml/2006/main">
                        <a:graphicData uri="http://schemas.microsoft.com/office/word/2010/wordprocessingShape">
                          <wps:wsp>
                            <wps:cNvCnPr>
                              <a:cxnSpLocks noChangeShapeType="1"/>
                            </wps:cNvCnPr>
                            <wps:spPr bwMode="auto">
                              <a:xfrm>
                                <a:off x="0" y="0"/>
                                <a:ext cx="2159214"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6.6pt;margin-top:17.2pt;height:0pt;width:170pt;z-index:251660288;mso-width-relative:page;mso-height-relative:page;" filled="f" stroked="t" coordsize="21600,21600" o:gfxdata="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ZFjq1QAAAAkBAAAPAAAAAAAAAAEAIAAAACIA&#10;AABkcnMvZG93bnJldi54bWxQSwECFAAUAAAACACHTuJAQg/ll9MBAACtAwAADgAAAAAAAAABACAA&#10;AAAkAQAAZHJzL2Uyb0RvYy54bWxQSwUGAAAAAAYABgBZAQAAaQUAAAAA&#10;">
                      <v:fill on="f" focussize="0,0"/>
                      <v:stroke color="#000000" joinstyle="round"/>
                      <v:imagedata o:title=""/>
                      <o:lock v:ext="edit" aspectratio="f"/>
                    </v:line>
                  </w:pict>
                </mc:Fallback>
              </mc:AlternateContent>
            </w:r>
            <w:r>
              <w:rPr>
                <w:rFonts w:eastAsia="Times New Roman"/>
                <w:b/>
                <w:bCs/>
                <w:szCs w:val="28"/>
                <w:highlight w:val="white"/>
              </w:rPr>
              <w:t>Độc lập - Tự do - Hạnh phúc</w:t>
            </w:r>
          </w:p>
        </w:tc>
      </w:tr>
    </w:tbl>
    <w:p>
      <w:pPr>
        <w:spacing w:after="0" w:line="240" w:lineRule="auto"/>
        <w:jc w:val="center"/>
        <w:rPr>
          <w:b/>
          <w:szCs w:val="28"/>
        </w:rPr>
      </w:pPr>
    </w:p>
    <w:p>
      <w:pPr>
        <w:spacing w:after="0" w:line="240" w:lineRule="auto"/>
        <w:jc w:val="center"/>
        <w:rPr>
          <w:b/>
          <w:szCs w:val="28"/>
        </w:rPr>
      </w:pPr>
      <w:r>
        <w:rPr>
          <w:b/>
          <w:szCs w:val="28"/>
        </w:rPr>
        <w:t>Phụ lục II</w:t>
      </w:r>
    </w:p>
    <w:p>
      <w:pPr>
        <w:spacing w:after="0" w:line="240" w:lineRule="auto"/>
        <w:jc w:val="center"/>
        <w:rPr>
          <w:b/>
          <w:szCs w:val="28"/>
        </w:rPr>
      </w:pPr>
      <w:bookmarkStart w:id="0" w:name="_Hlk80972690"/>
      <w:r>
        <w:rPr>
          <w:b/>
          <w:szCs w:val="28"/>
        </w:rPr>
        <w:t>PHÍ THUỘC LĨNH VỰC TÀI NGUYÊN VÀ MÔI TRƯỜNG</w:t>
      </w:r>
    </w:p>
    <w:bookmarkEnd w:id="0"/>
    <w:p>
      <w:pPr>
        <w:spacing w:after="0" w:line="240" w:lineRule="auto"/>
        <w:jc w:val="center"/>
        <w:rPr>
          <w:i/>
          <w:szCs w:val="28"/>
        </w:rPr>
      </w:pPr>
      <w:r>
        <w:rPr>
          <w:i/>
          <w:szCs w:val="28"/>
        </w:rPr>
        <w:t xml:space="preserve"> (Kèm theo Nghị quyết số 32/2022/NQ-HĐND ngày 12 tháng 7 năm 2022 </w:t>
      </w:r>
    </w:p>
    <w:p>
      <w:pPr>
        <w:spacing w:after="0" w:line="240" w:lineRule="auto"/>
        <w:jc w:val="center"/>
        <w:rPr>
          <w:i/>
          <w:szCs w:val="28"/>
        </w:rPr>
      </w:pPr>
      <w:r>
        <w:rPr>
          <w:i/>
          <w:szCs w:val="28"/>
        </w:rPr>
        <w:t>của Hội đồng nhân dân tỉnh Kon Tum)</w:t>
      </w:r>
    </w:p>
    <w:p>
      <w:pPr>
        <w:spacing w:after="0" w:line="240" w:lineRule="auto"/>
        <w:rPr>
          <w:i/>
        </w:rPr>
      </w:pPr>
    </w:p>
    <w:tbl>
      <w:tblPr>
        <w:tblStyle w:val="5"/>
        <w:tblW w:w="9851" w:type="dxa"/>
        <w:tblInd w:w="-459" w:type="dxa"/>
        <w:tblLayout w:type="fixed"/>
        <w:tblCellMar>
          <w:top w:w="0" w:type="dxa"/>
          <w:left w:w="108" w:type="dxa"/>
          <w:bottom w:w="0" w:type="dxa"/>
          <w:right w:w="108" w:type="dxa"/>
        </w:tblCellMar>
      </w:tblPr>
      <w:tblGrid>
        <w:gridCol w:w="676"/>
        <w:gridCol w:w="3719"/>
        <w:gridCol w:w="1276"/>
        <w:gridCol w:w="1559"/>
        <w:gridCol w:w="839"/>
        <w:gridCol w:w="871"/>
        <w:gridCol w:w="911"/>
      </w:tblGrid>
      <w:tr>
        <w:tblPrEx>
          <w:tblCellMar>
            <w:top w:w="0" w:type="dxa"/>
            <w:left w:w="108" w:type="dxa"/>
            <w:bottom w:w="0" w:type="dxa"/>
            <w:right w:w="108" w:type="dxa"/>
          </w:tblCellMar>
        </w:tblPrEx>
        <w:trPr>
          <w:trHeight w:val="1214" w:hRule="atLeast"/>
          <w:tblHeader/>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STT</w:t>
            </w:r>
          </w:p>
        </w:tc>
        <w:tc>
          <w:tcPr>
            <w:tcW w:w="37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Nội dung</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Đơn vị tính</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Mức thu (đồng)</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Tỷ lệ (%) để lại đơn vị thu</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Tỷ lệ (%) nộp NSNN</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Ghi chú</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IV</w:t>
            </w: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b/>
                <w:bCs/>
                <w:sz w:val="22"/>
              </w:rPr>
            </w:pPr>
            <w:r>
              <w:rPr>
                <w:rFonts w:eastAsia="Times New Roman"/>
                <w:b/>
                <w:bCs/>
                <w:sz w:val="22"/>
              </w:rPr>
              <w:t>Phí thẩm định đề án, báo cáo thăm dò đánh giá trữ lượng, khai thác, sử dụng nước dưới đất </w:t>
            </w:r>
            <w:r>
              <w:rPr>
                <w:rFonts w:eastAsia="Times New Roman"/>
                <w:b/>
                <w:bCs/>
                <w:i/>
                <w:iCs/>
                <w:sz w:val="22"/>
              </w:rPr>
              <w:t>(đối với hoạt động thẩm định do cơ quan địa phương thực hiện)</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b/>
                <w:bCs/>
                <w:sz w:val="22"/>
              </w:rPr>
            </w:pPr>
            <w:r>
              <w:rPr>
                <w:rFonts w:eastAsia="Times New Roman"/>
                <w:b/>
                <w:bCs/>
                <w:sz w:val="22"/>
              </w:rPr>
              <w:t> </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b/>
                <w:bCs/>
                <w:sz w:val="22"/>
              </w:rPr>
            </w:pPr>
            <w:r>
              <w:rPr>
                <w:rFonts w:eastAsia="Times New Roman"/>
                <w:b/>
                <w:bCs/>
                <w:sz w:val="22"/>
              </w:rPr>
              <w:t> </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b/>
                <w:bCs/>
                <w:sz w:val="22"/>
              </w:rPr>
            </w:pPr>
            <w:r>
              <w:rPr>
                <w:rFonts w:eastAsia="Times New Roman"/>
                <w:b/>
                <w:bCs/>
                <w:sz w:val="22"/>
              </w:rPr>
              <w:t> </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b/>
                <w:bCs/>
                <w:sz w:val="22"/>
              </w:rPr>
            </w:pP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1</w:t>
            </w: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b/>
                <w:bCs/>
                <w:sz w:val="22"/>
              </w:rPr>
            </w:pPr>
            <w:r>
              <w:rPr>
                <w:rFonts w:eastAsia="Times New Roman"/>
                <w:b/>
                <w:bCs/>
                <w:sz w:val="22"/>
              </w:rPr>
              <w:t>Đối tượng nộp phí</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 </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sz w:val="22"/>
              </w:rPr>
            </w:pPr>
            <w:r>
              <w:rPr>
                <w:rFonts w:eastAsia="Times New Roman"/>
                <w:b/>
                <w:bCs/>
                <w:sz w:val="22"/>
              </w:rPr>
              <w:t> </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sz w:val="22"/>
              </w:rPr>
            </w:pPr>
            <w:r>
              <w:rPr>
                <w:rFonts w:eastAsia="Times New Roman"/>
                <w:b/>
                <w:bCs/>
                <w:sz w:val="22"/>
              </w:rPr>
              <w:t> </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sz w:val="22"/>
              </w:rPr>
            </w:pPr>
            <w:r>
              <w:rPr>
                <w:rFonts w:eastAsia="Times New Roman"/>
                <w:sz w:val="22"/>
              </w:rPr>
              <w:t>Các tổ chức, cá nhân trong nước và tổ chức, cá nhân nước ngoài (sau đây gọi chung là tổ chức, cá nhân) có hoạt động liên quan đến  thăm dò đánh giá trữ lượng, khai thác, sử dụng nước dưới đất trên địa bàn tỉnh Kon Tum phải lập đề án, báo cáo đề nghị cơ quan nhà nước có thẩm quyền thẩm định theo quy định</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sz w:val="22"/>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sz w:val="22"/>
              </w:rPr>
              <w:t> </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sz w:val="22"/>
              </w:rPr>
            </w:pPr>
            <w:r>
              <w:rPr>
                <w:rFonts w:eastAsia="Times New Roman"/>
                <w:b/>
                <w:bCs/>
                <w:sz w:val="22"/>
              </w:rPr>
              <w:t> </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sz w:val="22"/>
              </w:rPr>
            </w:pPr>
            <w:r>
              <w:rPr>
                <w:rFonts w:eastAsia="Times New Roman"/>
                <w:b/>
                <w:bCs/>
                <w:sz w:val="22"/>
              </w:rPr>
              <w:t> </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2</w:t>
            </w: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b/>
                <w:bCs/>
                <w:sz w:val="22"/>
              </w:rPr>
            </w:pPr>
            <w:r>
              <w:rPr>
                <w:rFonts w:eastAsia="Times New Roman"/>
                <w:b/>
                <w:bCs/>
                <w:sz w:val="22"/>
              </w:rPr>
              <w:t>Nội dung thu phí</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 </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sz w:val="22"/>
              </w:rPr>
            </w:pPr>
            <w:r>
              <w:rPr>
                <w:rFonts w:eastAsia="Times New Roman"/>
                <w:b/>
                <w:bCs/>
                <w:sz w:val="22"/>
              </w:rPr>
              <w:t> </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sz w:val="22"/>
              </w:rPr>
            </w:pPr>
            <w:r>
              <w:rPr>
                <w:rFonts w:eastAsia="Times New Roman"/>
                <w:b/>
                <w:bCs/>
                <w:sz w:val="22"/>
              </w:rPr>
              <w:t> </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
                <w:bCs/>
                <w:sz w:val="22"/>
              </w:rPr>
              <w:t>2.1</w:t>
            </w: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sz w:val="22"/>
              </w:rPr>
            </w:pPr>
            <w:r>
              <w:rPr>
                <w:rFonts w:eastAsia="Times New Roman"/>
                <w:b/>
                <w:bCs/>
                <w:sz w:val="22"/>
              </w:rPr>
              <w:t>Thẩm định lần đầu</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sz w:val="22"/>
              </w:rPr>
            </w:pP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b/>
                <w:bCs/>
                <w:sz w:val="22"/>
              </w:rPr>
            </w:pPr>
            <w:r>
              <w:rPr>
                <w:sz w:val="22"/>
              </w:rPr>
              <w:t xml:space="preserve">Thiết kế giếng thăm dò nước dưới đất; </w:t>
            </w:r>
            <w:r>
              <w:rPr>
                <w:sz w:val="22"/>
                <w:lang w:val="vi-VN"/>
              </w:rPr>
              <w:t>báo cáo kết quả thi công giếng khai thác</w:t>
            </w:r>
            <w:r>
              <w:rPr>
                <w:sz w:val="22"/>
              </w:rPr>
              <w:t xml:space="preserve">; Báo cáo hiện trạng khai thác nước dưới đất có lưu lượng nước dưới </w:t>
            </w:r>
            <w:r>
              <w:rPr>
                <w:sz w:val="22"/>
                <w:lang w:val="vi-VN"/>
              </w:rPr>
              <w:t>200 m</w:t>
            </w:r>
            <w:r>
              <w:rPr>
                <w:sz w:val="22"/>
                <w:vertAlign w:val="superscript"/>
                <w:lang w:val="vi-VN"/>
              </w:rPr>
              <w:t>3</w:t>
            </w:r>
            <w:r>
              <w:rPr>
                <w:sz w:val="22"/>
                <w:lang w:val="vi-VN"/>
              </w:rPr>
              <w:t>/ngày đêm</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sz w:val="22"/>
              </w:rPr>
              <w:t>đồng/hồ sơ</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sz w:val="22"/>
              </w:rPr>
              <w:t>520.000</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Cs/>
                <w:sz w:val="22"/>
              </w:rPr>
              <w:t>50%</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Cs/>
                <w:sz w:val="22"/>
              </w:rPr>
              <w:t>50%</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sz w:val="22"/>
              </w:rPr>
            </w:pPr>
            <w:r>
              <w:rPr>
                <w:rFonts w:eastAsia="Times New Roman"/>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sz w:val="22"/>
              </w:rPr>
            </w:pPr>
            <w:r>
              <w:rPr>
                <w:sz w:val="22"/>
              </w:rPr>
              <w:t>Đề án thăm dò nước dưới đất; báo cáo kết quả thăm dò đánh giá trữ lượng nước dưới đất; Báo cáo hiện trạng khai thác nước dưới đất từ 200 m</w:t>
            </w:r>
            <w:r>
              <w:rPr>
                <w:sz w:val="22"/>
                <w:vertAlign w:val="superscript"/>
              </w:rPr>
              <w:t>3</w:t>
            </w:r>
            <w:r>
              <w:rPr>
                <w:sz w:val="22"/>
              </w:rPr>
              <w:t>/ngày đêm đến dưới 500 m</w:t>
            </w:r>
            <w:r>
              <w:rPr>
                <w:sz w:val="22"/>
                <w:vertAlign w:val="superscript"/>
              </w:rPr>
              <w:t>3</w:t>
            </w:r>
            <w:r>
              <w:rPr>
                <w:sz w:val="22"/>
              </w:rPr>
              <w:t>/ngày đêm</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sz w:val="22"/>
              </w:rPr>
              <w:t>đồng/hồ sơ</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sz w:val="22"/>
              </w:rPr>
              <w:t>1.400.000</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Cs/>
                <w:sz w:val="22"/>
              </w:rPr>
              <w:t>50%</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Cs/>
                <w:sz w:val="22"/>
              </w:rPr>
              <w:t>50%</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sz w:val="22"/>
              </w:rPr>
            </w:pPr>
            <w:r>
              <w:rPr>
                <w:rFonts w:eastAsia="Times New Roman"/>
                <w:sz w:val="22"/>
              </w:rPr>
              <w:t> </w:t>
            </w:r>
          </w:p>
        </w:tc>
      </w:tr>
      <w:tr>
        <w:tblPrEx>
          <w:tblCellMar>
            <w:top w:w="0" w:type="dxa"/>
            <w:left w:w="108" w:type="dxa"/>
            <w:bottom w:w="0" w:type="dxa"/>
            <w:right w:w="108" w:type="dxa"/>
          </w:tblCellMar>
        </w:tblPrEx>
        <w:trPr>
          <w:trHeight w:val="918"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sz w:val="22"/>
              </w:rPr>
            </w:pPr>
            <w:r>
              <w:rPr>
                <w:sz w:val="22"/>
              </w:rPr>
              <w:t>Đề án thăm dò nước dưới đất; báo cáo kết quả thăm dò đánh giá trữ lượng nước dưới đất; Báo cáo hiện trạng khai thác nước dưới đất từ 500 m</w:t>
            </w:r>
            <w:r>
              <w:rPr>
                <w:sz w:val="22"/>
                <w:vertAlign w:val="superscript"/>
              </w:rPr>
              <w:t>3</w:t>
            </w:r>
            <w:r>
              <w:rPr>
                <w:sz w:val="22"/>
              </w:rPr>
              <w:t>/ngày đêm đến dưới 1.000 m</w:t>
            </w:r>
            <w:r>
              <w:rPr>
                <w:sz w:val="22"/>
                <w:vertAlign w:val="superscript"/>
              </w:rPr>
              <w:t>3</w:t>
            </w:r>
            <w:r>
              <w:rPr>
                <w:sz w:val="22"/>
              </w:rPr>
              <w:t>/ngày đêm</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sz w:val="22"/>
              </w:rPr>
              <w:t>đồng/hồ sơ</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sz w:val="22"/>
              </w:rPr>
              <w:t>3.400.000</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Cs/>
                <w:sz w:val="22"/>
              </w:rPr>
              <w:t>50%</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Cs/>
                <w:sz w:val="22"/>
              </w:rPr>
              <w:t>50%</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sz w:val="22"/>
              </w:rPr>
            </w:pPr>
            <w:r>
              <w:rPr>
                <w:rFonts w:eastAsia="Times New Roman"/>
                <w:sz w:val="22"/>
              </w:rPr>
              <w:t> </w:t>
            </w:r>
          </w:p>
        </w:tc>
      </w:tr>
      <w:tr>
        <w:tblPrEx>
          <w:tblCellMar>
            <w:top w:w="0" w:type="dxa"/>
            <w:left w:w="108" w:type="dxa"/>
            <w:bottom w:w="0" w:type="dxa"/>
            <w:right w:w="108" w:type="dxa"/>
          </w:tblCellMar>
        </w:tblPrEx>
        <w:trPr>
          <w:trHeight w:val="804"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sz w:val="22"/>
              </w:rPr>
            </w:pPr>
            <w:r>
              <w:rPr>
                <w:sz w:val="22"/>
              </w:rPr>
              <w:t>Đối với đề án thăm dò nước dưới đất; báo cáo kết quả thăm dò đánh giá trữ lượng nước dưới đất; Báo cáo hiện trạng khai thác nước dưới đất từ 1.000 m</w:t>
            </w:r>
            <w:r>
              <w:rPr>
                <w:sz w:val="22"/>
                <w:vertAlign w:val="superscript"/>
              </w:rPr>
              <w:t>3</w:t>
            </w:r>
            <w:r>
              <w:rPr>
                <w:sz w:val="22"/>
              </w:rPr>
              <w:t>/ngày đêm đến dưới 3.000 m</w:t>
            </w:r>
            <w:r>
              <w:rPr>
                <w:sz w:val="22"/>
                <w:vertAlign w:val="superscript"/>
              </w:rPr>
              <w:t>3</w:t>
            </w:r>
            <w:r>
              <w:rPr>
                <w:sz w:val="22"/>
              </w:rPr>
              <w:t>/ngày đêm</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sz w:val="22"/>
              </w:rPr>
              <w:t>đồng/hồ sơ</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sz w:val="22"/>
              </w:rPr>
              <w:t>6.500.000</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Cs/>
                <w:sz w:val="22"/>
              </w:rPr>
              <w:t>50%</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Cs/>
                <w:sz w:val="22"/>
              </w:rPr>
              <w:t>50%</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sz w:val="22"/>
              </w:rPr>
            </w:pPr>
            <w:r>
              <w:rPr>
                <w:rFonts w:eastAsia="Times New Roman"/>
                <w:sz w:val="22"/>
              </w:rPr>
              <w:t> </w:t>
            </w:r>
          </w:p>
        </w:tc>
      </w:tr>
      <w:tr>
        <w:tblPrEx>
          <w:tblCellMar>
            <w:top w:w="0" w:type="dxa"/>
            <w:left w:w="108" w:type="dxa"/>
            <w:bottom w:w="0" w:type="dxa"/>
            <w:right w:w="108" w:type="dxa"/>
          </w:tblCellMar>
        </w:tblPrEx>
        <w:trPr>
          <w:trHeight w:val="581"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
                <w:bCs/>
                <w:sz w:val="22"/>
              </w:rPr>
              <w:t>2.2</w:t>
            </w: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sz w:val="22"/>
              </w:rPr>
            </w:pPr>
            <w:r>
              <w:rPr>
                <w:rFonts w:eastAsia="Times New Roman"/>
                <w:b/>
                <w:bCs/>
                <w:sz w:val="22"/>
              </w:rPr>
              <w:t>Thẩm định hồ sơ gia hạn, điều chỉnh giấy phép</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sz w:val="22"/>
              </w:rPr>
            </w:pPr>
          </w:p>
        </w:tc>
      </w:tr>
      <w:tr>
        <w:tblPrEx>
          <w:tblCellMar>
            <w:top w:w="0" w:type="dxa"/>
            <w:left w:w="108" w:type="dxa"/>
            <w:bottom w:w="0" w:type="dxa"/>
            <w:right w:w="108" w:type="dxa"/>
          </w:tblCellMar>
        </w:tblPrEx>
        <w:trPr>
          <w:trHeight w:val="581"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sz w:val="22"/>
              </w:rPr>
            </w:pPr>
            <w:r>
              <w:rPr>
                <w:rFonts w:eastAsia="Times New Roman"/>
                <w:sz w:val="22"/>
              </w:rPr>
              <w:t>Thẩm định Báo cáo đối với trường hợp đề nghị gia hạn, điều chỉnh nội dung do chuyển nhượng giấy phép khai thác, sử dụng nước dưới đất</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sz w:val="22"/>
              </w:rPr>
              <w:t>đồng/hồ sơ</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sz w:val="22"/>
              </w:rPr>
              <w:t>Mức thu bằng 50% mức thu thẩm định theo quy định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Cs/>
                <w:sz w:val="22"/>
              </w:rPr>
              <w:t>50%</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Cs/>
                <w:sz w:val="22"/>
              </w:rPr>
              <w:t>50%</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sz w:val="22"/>
              </w:rPr>
            </w:pPr>
          </w:p>
        </w:tc>
      </w:tr>
      <w:tr>
        <w:tblPrEx>
          <w:tblCellMar>
            <w:top w:w="0" w:type="dxa"/>
            <w:left w:w="108" w:type="dxa"/>
            <w:bottom w:w="0" w:type="dxa"/>
            <w:right w:w="108" w:type="dxa"/>
          </w:tblCellMar>
        </w:tblPrEx>
        <w:trPr>
          <w:trHeight w:val="1881"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sz w:val="22"/>
              </w:rPr>
            </w:pPr>
            <w:r>
              <w:rPr>
                <w:rFonts w:eastAsia="Times New Roman"/>
                <w:sz w:val="22"/>
              </w:rPr>
              <w:t>Thẩm định Thiết kế giếng thăm dò, Đề án thăm dò nước dưới đất, báo cáo kết quả thi công giếng khai thác nước dưới đất, báo cáo kết quả thăm dò đánh giá trữ lượng nước dưới đất đối với trường hợp đề nghị gia hạn, điều chỉnh nội dung giấy phép thăm dò nước dưới đất</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sz w:val="22"/>
              </w:rPr>
              <w:t>đồng/hồ sơ</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sz w:val="22"/>
              </w:rPr>
              <w:t>Mức thu bằng 30% mức thu thẩm định theo quy định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Cs/>
                <w:sz w:val="22"/>
              </w:rPr>
              <w:t>50%</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Cs/>
                <w:sz w:val="22"/>
              </w:rPr>
              <w:t>50%</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sz w:val="22"/>
              </w:rPr>
            </w:pPr>
            <w:r>
              <w:rPr>
                <w:rFonts w:eastAsia="Times New Roman"/>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
                <w:sz w:val="22"/>
              </w:rPr>
              <w:t>2.3</w:t>
            </w: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sz w:val="22"/>
              </w:rPr>
            </w:pPr>
            <w:r>
              <w:rPr>
                <w:rFonts w:eastAsia="Times New Roman"/>
                <w:b/>
                <w:sz w:val="22"/>
              </w:rPr>
              <w:t>Thẩm định hồ sơ cấp lại giấy phép</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
                <w:sz w:val="22"/>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
                <w:sz w:val="22"/>
              </w:rPr>
              <w:t> </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
                <w:sz w:val="22"/>
              </w:rPr>
              <w:t> </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
                <w:sz w:val="22"/>
              </w:rPr>
              <w:t> </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sz w:val="22"/>
              </w:rPr>
            </w:pPr>
            <w:r>
              <w:rPr>
                <w:rFonts w:eastAsia="Times New Roman"/>
                <w:b/>
                <w:sz w:val="22"/>
              </w:rPr>
              <w:t> </w:t>
            </w:r>
          </w:p>
        </w:tc>
      </w:tr>
      <w:tr>
        <w:tblPrEx>
          <w:tblCellMar>
            <w:top w:w="0" w:type="dxa"/>
            <w:left w:w="108" w:type="dxa"/>
            <w:bottom w:w="0" w:type="dxa"/>
            <w:right w:w="108" w:type="dxa"/>
          </w:tblCellMar>
        </w:tblPrEx>
        <w:trPr>
          <w:trHeight w:val="1104"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sz w:val="22"/>
              </w:rPr>
            </w:pP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b/>
                <w:sz w:val="22"/>
              </w:rPr>
            </w:pPr>
            <w:r>
              <w:rPr>
                <w:rFonts w:eastAsia="Times New Roman"/>
                <w:sz w:val="22"/>
              </w:rPr>
              <w:t>Thẩm định Báo cáo đối với trường hợp đề nghị cấp lại do chuyển nhượng giấy phép khai thác, sử dụng nước dưới đất</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sz w:val="22"/>
              </w:rPr>
            </w:pPr>
            <w:r>
              <w:rPr>
                <w:rFonts w:eastAsia="Times New Roman"/>
                <w:sz w:val="22"/>
              </w:rPr>
              <w:t>đồng/hồ sơ</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sz w:val="22"/>
              </w:rPr>
            </w:pPr>
            <w:r>
              <w:rPr>
                <w:rFonts w:eastAsia="Times New Roman"/>
                <w:sz w:val="22"/>
              </w:rPr>
              <w:t>Mức thu bằng 50% mức thu thẩm định theo quy định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sz w:val="22"/>
              </w:rPr>
            </w:pPr>
            <w:r>
              <w:rPr>
                <w:rFonts w:eastAsia="Times New Roman"/>
                <w:bCs/>
                <w:sz w:val="22"/>
              </w:rPr>
              <w:t>50%</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sz w:val="22"/>
              </w:rPr>
            </w:pPr>
            <w:r>
              <w:rPr>
                <w:rFonts w:eastAsia="Times New Roman"/>
                <w:bCs/>
                <w:sz w:val="22"/>
              </w:rPr>
              <w:t>50%</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b/>
                <w:sz w:val="22"/>
              </w:rPr>
            </w:pPr>
            <w:r>
              <w:rPr>
                <w:rFonts w:eastAsia="Times New Roman"/>
                <w:sz w:val="22"/>
              </w:rPr>
              <w:t> </w:t>
            </w:r>
          </w:p>
        </w:tc>
      </w:tr>
      <w:tr>
        <w:tblPrEx>
          <w:tblCellMar>
            <w:top w:w="0" w:type="dxa"/>
            <w:left w:w="108" w:type="dxa"/>
            <w:bottom w:w="0" w:type="dxa"/>
            <w:right w:w="108" w:type="dxa"/>
          </w:tblCellMar>
        </w:tblPrEx>
        <w:trPr>
          <w:trHeight w:val="112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sz w:val="22"/>
              </w:rPr>
            </w:pPr>
            <w:r>
              <w:rPr>
                <w:rFonts w:eastAsia="Times New Roman"/>
                <w:b/>
                <w:bCs/>
                <w:sz w:val="22"/>
              </w:rPr>
              <w:t>V</w:t>
            </w: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sz w:val="22"/>
              </w:rPr>
            </w:pPr>
            <w:r>
              <w:rPr>
                <w:rFonts w:eastAsia="Times New Roman"/>
                <w:b/>
                <w:bCs/>
                <w:sz w:val="22"/>
              </w:rPr>
              <w:t xml:space="preserve">Phí thẩm định hồ sơ, điều kiện hành nghề khoan nước dưới đất </w:t>
            </w:r>
            <w:r>
              <w:rPr>
                <w:rFonts w:eastAsia="Times New Roman"/>
                <w:b/>
                <w:bCs/>
                <w:i/>
                <w:iCs/>
                <w:sz w:val="22"/>
              </w:rPr>
              <w:t>(đối với hoạt động thẩm định do cơ quan địa phương thực hiện)</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
                <w:bCs/>
                <w:sz w:val="22"/>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
                <w:bCs/>
                <w:sz w:val="22"/>
              </w:rPr>
              <w:t> </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
                <w:bCs/>
                <w:sz w:val="22"/>
              </w:rPr>
              <w:t> </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
                <w:bCs/>
                <w:sz w:val="22"/>
              </w:rPr>
              <w:t> </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sz w:val="22"/>
              </w:rPr>
            </w:pP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1</w:t>
            </w: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b/>
                <w:bCs/>
                <w:sz w:val="22"/>
              </w:rPr>
            </w:pPr>
            <w:r>
              <w:rPr>
                <w:rFonts w:eastAsia="Times New Roman"/>
                <w:b/>
                <w:bCs/>
                <w:sz w:val="22"/>
              </w:rPr>
              <w:t>Đối tượng nộp phí</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 </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 </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 </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p>
        </w:tc>
        <w:tc>
          <w:tcPr>
            <w:tcW w:w="3719" w:type="dxa"/>
            <w:tcBorders>
              <w:top w:val="single" w:color="auto" w:sz="4" w:space="0"/>
              <w:left w:val="nil"/>
              <w:bottom w:val="single" w:color="auto" w:sz="4" w:space="0"/>
              <w:right w:val="single" w:color="auto" w:sz="4" w:space="0"/>
            </w:tcBorders>
            <w:shd w:val="clear" w:color="auto" w:fill="auto"/>
            <w:vAlign w:val="bottom"/>
          </w:tcPr>
          <w:p>
            <w:pPr>
              <w:spacing w:after="0" w:line="240" w:lineRule="auto"/>
              <w:jc w:val="both"/>
              <w:rPr>
                <w:rFonts w:eastAsia="Times New Roman"/>
                <w:b/>
                <w:bCs/>
                <w:sz w:val="22"/>
              </w:rPr>
            </w:pPr>
            <w:r>
              <w:rPr>
                <w:rFonts w:eastAsia="Times New Roman"/>
                <w:sz w:val="22"/>
              </w:rPr>
              <w:t>Các tổ chức, cá nhân trong nước và tổ chức, cá nhân nước ngoài (sau đây gọi chung là tổ chức, cá nhân) có hoạt động liên quan điều kiện hành nghề khoan nước dưới đất trên địa bàn tỉnh Kon Tum phải lập hồ sơ đề nghị cơ quan nhà nước có thẩm quyền thẩm định theo quy định.</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sz w:val="22"/>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sz w:val="22"/>
              </w:rPr>
              <w:t> </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 </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 </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2</w:t>
            </w: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sz w:val="22"/>
              </w:rPr>
            </w:pPr>
            <w:r>
              <w:rPr>
                <w:rFonts w:eastAsia="Times New Roman"/>
                <w:b/>
                <w:bCs/>
                <w:sz w:val="22"/>
              </w:rPr>
              <w:t>Nội dung thu phí</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
                <w:bCs/>
                <w:sz w:val="22"/>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
                <w:bCs/>
                <w:sz w:val="22"/>
              </w:rPr>
              <w:t> </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 </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 </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2.1</w:t>
            </w: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b/>
                <w:bCs/>
                <w:sz w:val="22"/>
              </w:rPr>
            </w:pPr>
            <w:r>
              <w:rPr>
                <w:rFonts w:eastAsia="Times New Roman"/>
                <w:b/>
                <w:bCs/>
                <w:sz w:val="22"/>
              </w:rPr>
              <w:t>Thẩm định lần đầu</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b/>
                <w:bCs/>
                <w:sz w:val="22"/>
              </w:rPr>
            </w:pP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b/>
                <w:bCs/>
                <w:sz w:val="22"/>
              </w:rPr>
            </w:pPr>
            <w:r>
              <w:rPr>
                <w:rFonts w:eastAsia="Times New Roman"/>
                <w:bCs/>
                <w:sz w:val="22"/>
              </w:rPr>
              <w:t>Hồ sơ cấp giấy phép hành nghề khoan nước dưới đất quy mô vừa và nhỏ</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Cs/>
                <w:sz w:val="22"/>
              </w:rPr>
              <w:t>đồng/hồ sơ</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Cs/>
                <w:sz w:val="22"/>
              </w:rPr>
              <w:t>1.800.000</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Cs/>
                <w:sz w:val="22"/>
              </w:rPr>
              <w:t>50%</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Cs/>
                <w:sz w:val="22"/>
              </w:rPr>
              <w:t>50%</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b/>
                <w:bCs/>
                <w:sz w:val="22"/>
              </w:rPr>
            </w:pPr>
            <w:r>
              <w:rPr>
                <w:rFonts w:eastAsia="Times New Roman"/>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2.2</w:t>
            </w: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bCs/>
                <w:sz w:val="22"/>
              </w:rPr>
            </w:pPr>
            <w:r>
              <w:rPr>
                <w:rFonts w:eastAsia="Times New Roman"/>
                <w:b/>
                <w:bCs/>
                <w:sz w:val="22"/>
              </w:rPr>
              <w:t>Thẩm định hồ sơ gia hạn, điều chỉnh giấy phép</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Cs/>
                <w:sz w:val="22"/>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Cs/>
                <w:sz w:val="22"/>
              </w:rPr>
            </w:pP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Cs/>
                <w:sz w:val="22"/>
              </w:rPr>
            </w:pP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Cs/>
                <w:sz w:val="22"/>
              </w:rPr>
            </w:pP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bCs/>
                <w:sz w:val="22"/>
              </w:rPr>
            </w:pP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b/>
                <w:bCs/>
                <w:sz w:val="22"/>
              </w:rPr>
            </w:pPr>
            <w:r>
              <w:rPr>
                <w:rFonts w:eastAsia="Times New Roman"/>
                <w:bCs/>
                <w:sz w:val="22"/>
              </w:rPr>
              <w:t>Thẩm định hồ sơ, điều kiện trong trường hợp gia hạn, điều chỉnh giấy phép hành nghề khoan nước dưới đất quy mô vừa và nhỏ</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Cs/>
                <w:sz w:val="22"/>
              </w:rPr>
            </w:pPr>
            <w:r>
              <w:rPr>
                <w:rFonts w:eastAsia="Times New Roman"/>
                <w:bCs/>
                <w:sz w:val="22"/>
              </w:rPr>
              <w:t>đồng/hồ sơ</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Cs/>
                <w:sz w:val="22"/>
              </w:rPr>
            </w:pPr>
            <w:r>
              <w:rPr>
                <w:rFonts w:eastAsia="Times New Roman"/>
                <w:bCs/>
                <w:sz w:val="22"/>
              </w:rPr>
              <w:t>Mức thu bằng 30% mức thu thẩm định theo quy định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Cs/>
                <w:sz w:val="22"/>
              </w:rPr>
            </w:pPr>
            <w:r>
              <w:rPr>
                <w:rFonts w:eastAsia="Times New Roman"/>
                <w:bCs/>
                <w:sz w:val="22"/>
              </w:rPr>
              <w:t>50%</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Cs/>
                <w:sz w:val="22"/>
              </w:rPr>
            </w:pPr>
            <w:r>
              <w:rPr>
                <w:rFonts w:eastAsia="Times New Roman"/>
                <w:bCs/>
                <w:sz w:val="22"/>
              </w:rPr>
              <w:t>50%</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bCs/>
                <w:sz w:val="22"/>
              </w:rPr>
            </w:pPr>
            <w:r>
              <w:rPr>
                <w:rFonts w:eastAsia="Times New Roman"/>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VI</w:t>
            </w:r>
          </w:p>
        </w:tc>
        <w:tc>
          <w:tcPr>
            <w:tcW w:w="3719" w:type="dxa"/>
            <w:tcBorders>
              <w:top w:val="single" w:color="auto" w:sz="4" w:space="0"/>
              <w:left w:val="nil"/>
              <w:bottom w:val="single" w:color="auto" w:sz="4" w:space="0"/>
              <w:right w:val="single" w:color="auto" w:sz="4" w:space="0"/>
            </w:tcBorders>
            <w:shd w:val="clear" w:color="auto" w:fill="auto"/>
            <w:vAlign w:val="bottom"/>
          </w:tcPr>
          <w:p>
            <w:pPr>
              <w:spacing w:after="0" w:line="240" w:lineRule="auto"/>
              <w:jc w:val="both"/>
              <w:rPr>
                <w:rFonts w:eastAsia="Times New Roman"/>
                <w:bCs/>
                <w:sz w:val="22"/>
              </w:rPr>
            </w:pPr>
            <w:r>
              <w:rPr>
                <w:rFonts w:eastAsia="Times New Roman"/>
                <w:b/>
                <w:bCs/>
                <w:sz w:val="22"/>
              </w:rPr>
              <w:t xml:space="preserve">Phí thẩm định đề án khai thác, sử dụng nước mặt </w:t>
            </w:r>
            <w:r>
              <w:rPr>
                <w:rFonts w:eastAsia="Times New Roman"/>
                <w:b/>
                <w:bCs/>
                <w:i/>
                <w:iCs/>
                <w:sz w:val="22"/>
              </w:rPr>
              <w:t>(đối với hoạt động thẩm định do cơ quan địa phương thực hiện)</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Cs/>
                <w:sz w:val="22"/>
              </w:rPr>
            </w:pPr>
            <w:r>
              <w:rPr>
                <w:rFonts w:eastAsia="Times New Roman"/>
                <w:b/>
                <w:bCs/>
                <w:sz w:val="22"/>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Cs/>
                <w:sz w:val="22"/>
              </w:rPr>
            </w:pPr>
            <w:r>
              <w:rPr>
                <w:rFonts w:eastAsia="Times New Roman"/>
                <w:b/>
                <w:bCs/>
                <w:sz w:val="22"/>
              </w:rPr>
              <w:t> </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Cs/>
                <w:sz w:val="22"/>
              </w:rPr>
            </w:pPr>
            <w:r>
              <w:rPr>
                <w:rFonts w:eastAsia="Times New Roman"/>
                <w:b/>
                <w:bCs/>
                <w:sz w:val="22"/>
              </w:rPr>
              <w:t> </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Cs/>
                <w:sz w:val="22"/>
              </w:rPr>
            </w:pPr>
            <w:r>
              <w:rPr>
                <w:rFonts w:eastAsia="Times New Roman"/>
                <w:b/>
                <w:bCs/>
                <w:sz w:val="22"/>
              </w:rPr>
              <w:t> </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bCs/>
                <w:sz w:val="22"/>
              </w:rPr>
            </w:pP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1</w:t>
            </w: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b/>
                <w:bCs/>
                <w:sz w:val="22"/>
              </w:rPr>
            </w:pPr>
            <w:r>
              <w:rPr>
                <w:rFonts w:eastAsia="Times New Roman"/>
                <w:b/>
                <w:bCs/>
                <w:sz w:val="22"/>
              </w:rPr>
              <w:t>Đối tượng nộp phí</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 </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 </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 </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bCs/>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b/>
                <w:bCs/>
                <w:sz w:val="22"/>
              </w:rPr>
            </w:pPr>
            <w:r>
              <w:rPr>
                <w:rFonts w:eastAsia="Times New Roman"/>
                <w:sz w:val="22"/>
              </w:rPr>
              <w:t>Các tổ chức, cá nhân trong nước và tổ chức, cá nhân nước ngoài (sau đây gọi chung là tổ chức, cá nhân) có hoạt động liên quan đến khai thác, sử dụng nước mặt trên địa bàn tỉnh Kon Tum phải lập đề án, báo cáo đề nghị cơ quan nhà nước có thẩm quyền thẩm định theo quy định</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sz w:val="22"/>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sz w:val="22"/>
              </w:rPr>
              <w:t> </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 </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 </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2</w:t>
            </w: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sz w:val="22"/>
              </w:rPr>
            </w:pPr>
            <w:r>
              <w:rPr>
                <w:rFonts w:eastAsia="Times New Roman"/>
                <w:b/>
                <w:bCs/>
                <w:sz w:val="22"/>
              </w:rPr>
              <w:t>Nội dung thu phí</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
                <w:bCs/>
                <w:sz w:val="22"/>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
                <w:bCs/>
                <w:sz w:val="22"/>
              </w:rPr>
              <w:t> </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 </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 </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2.1</w:t>
            </w: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b/>
                <w:bCs/>
                <w:sz w:val="22"/>
              </w:rPr>
            </w:pPr>
            <w:r>
              <w:rPr>
                <w:rFonts w:eastAsia="Times New Roman"/>
                <w:b/>
                <w:bCs/>
                <w:sz w:val="22"/>
              </w:rPr>
              <w:t>Thẩm định lần đầu</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 </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 </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bCs/>
                <w:sz w:val="22"/>
              </w:rPr>
              <w:t> </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b/>
                <w:bCs/>
                <w:sz w:val="22"/>
              </w:rPr>
            </w:pPr>
            <w:r>
              <w:rPr>
                <w:rFonts w:eastAsia="Times New Roman"/>
                <w:sz w:val="22"/>
              </w:rPr>
              <w:t>Đề án, báo cáo hiện trạng khai thác, sử dụng nước mặt cho các mục đích khác với lưu lượng trên 100 m3/ngày đêm đến dưới 500 m3/ngày đêm</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Cs/>
                <w:sz w:val="22"/>
              </w:rPr>
              <w:t>đồng/hồ sơ</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sz w:val="22"/>
              </w:rPr>
              <w:t>780.000</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Cs/>
                <w:sz w:val="22"/>
              </w:rPr>
              <w:t>50%</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Cs/>
                <w:sz w:val="22"/>
              </w:rPr>
              <w:t>50%</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sz w:val="22"/>
              </w:rPr>
            </w:pPr>
            <w:r>
              <w:rPr>
                <w:sz w:val="22"/>
              </w:rPr>
              <w:t>Đề án, báo cáo hiện trạng khai thác, sử dụng nước mặt cho sản xuất nông nghiệp, nuôi trồng thủy sản với lưu lượng trên 0,1m</w:t>
            </w:r>
            <w:r>
              <w:rPr>
                <w:sz w:val="22"/>
                <w:vertAlign w:val="superscript"/>
              </w:rPr>
              <w:t>3</w:t>
            </w:r>
            <w:r>
              <w:rPr>
                <w:sz w:val="22"/>
              </w:rPr>
              <w:t>/giây đến dưới 0,5m</w:t>
            </w:r>
            <w:r>
              <w:rPr>
                <w:sz w:val="22"/>
                <w:vertAlign w:val="superscript"/>
              </w:rPr>
              <w:t>3</w:t>
            </w:r>
            <w:r>
              <w:rPr>
                <w:sz w:val="22"/>
              </w:rPr>
              <w:t>/giây; hoặc để phát điện với công suất trên 50 kw đến dưới 200 kw; hoặc cho các mục đích khác với lưu lượng từ 500 m</w:t>
            </w:r>
            <w:r>
              <w:rPr>
                <w:sz w:val="22"/>
                <w:vertAlign w:val="superscript"/>
              </w:rPr>
              <w:t>3</w:t>
            </w:r>
            <w:r>
              <w:rPr>
                <w:sz w:val="22"/>
              </w:rPr>
              <w:t>/ngày đêm đến dưới 3.000 m</w:t>
            </w:r>
            <w:r>
              <w:rPr>
                <w:sz w:val="22"/>
                <w:vertAlign w:val="superscript"/>
              </w:rPr>
              <w:t>3</w:t>
            </w:r>
            <w:r>
              <w:rPr>
                <w:sz w:val="22"/>
              </w:rPr>
              <w:t>/ngày đêm</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Cs/>
                <w:sz w:val="22"/>
              </w:rPr>
              <w:t>đồng/hồ sơ</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sz w:val="22"/>
              </w:rPr>
              <w:t>2.400.000</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Cs/>
                <w:sz w:val="22"/>
              </w:rPr>
              <w:t>50%</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Cs/>
                <w:sz w:val="22"/>
              </w:rPr>
              <w:t>50%</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sz w:val="22"/>
              </w:rPr>
            </w:pPr>
            <w:r>
              <w:rPr>
                <w:sz w:val="22"/>
              </w:rPr>
              <w:t>Đề án, báo cáo hiện trạng khai thác, sử dụng nước mặt cho sản xuất nông nghiệp, nuôi trồng thủy sản với lưu lượng từ 0,5 m</w:t>
            </w:r>
            <w:r>
              <w:rPr>
                <w:sz w:val="22"/>
                <w:vertAlign w:val="superscript"/>
              </w:rPr>
              <w:t>3</w:t>
            </w:r>
            <w:r>
              <w:rPr>
                <w:sz w:val="22"/>
              </w:rPr>
              <w:t>/giây đến dưới 1 m</w:t>
            </w:r>
            <w:r>
              <w:rPr>
                <w:sz w:val="22"/>
                <w:vertAlign w:val="superscript"/>
              </w:rPr>
              <w:t>3</w:t>
            </w:r>
            <w:r>
              <w:rPr>
                <w:sz w:val="22"/>
              </w:rPr>
              <w:t>/giây; hoặc để phát điện với công suất từ 200kw đến dưới 1.000kw; hoặc cho các mục đích khác với lưu lượng từ 3.000 m</w:t>
            </w:r>
            <w:r>
              <w:rPr>
                <w:sz w:val="22"/>
                <w:vertAlign w:val="superscript"/>
              </w:rPr>
              <w:t>3</w:t>
            </w:r>
            <w:r>
              <w:rPr>
                <w:sz w:val="22"/>
              </w:rPr>
              <w:t>/ngày đêm đến dưới 20.000 m</w:t>
            </w:r>
            <w:r>
              <w:rPr>
                <w:sz w:val="22"/>
                <w:vertAlign w:val="superscript"/>
              </w:rPr>
              <w:t>3</w:t>
            </w:r>
            <w:r>
              <w:rPr>
                <w:sz w:val="22"/>
              </w:rPr>
              <w:t>/ngày đêm</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Cs/>
                <w:sz w:val="22"/>
              </w:rPr>
              <w:t>đồng/hồ sơ</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sz w:val="22"/>
              </w:rPr>
              <w:t>5.700.000</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Cs/>
                <w:sz w:val="22"/>
              </w:rPr>
              <w:t>50%</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Cs/>
                <w:sz w:val="22"/>
              </w:rPr>
              <w:t>50%</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sz w:val="22"/>
              </w:rPr>
            </w:pPr>
            <w:r>
              <w:rPr>
                <w:sz w:val="22"/>
              </w:rPr>
              <w:t>Đề án, báo cáo hiện trạng khai thác, sử dụng nước mặt cho sản xuất nông nghiệp, nuôi trồng thủy sản với lưu lượng từ 1 m</w:t>
            </w:r>
            <w:r>
              <w:rPr>
                <w:sz w:val="22"/>
                <w:vertAlign w:val="superscript"/>
              </w:rPr>
              <w:t>3</w:t>
            </w:r>
            <w:r>
              <w:rPr>
                <w:sz w:val="22"/>
              </w:rPr>
              <w:t>/giây đến dưới 2 m</w:t>
            </w:r>
            <w:r>
              <w:rPr>
                <w:sz w:val="22"/>
                <w:vertAlign w:val="superscript"/>
              </w:rPr>
              <w:t>3</w:t>
            </w:r>
            <w:r>
              <w:rPr>
                <w:sz w:val="22"/>
              </w:rPr>
              <w:t>/giây; hoặc để phát điện với công suất từ 1.000 kw đến dưới 2.000 kw; hoặc cho các mục đích khác với lưu lượng từ 20.000 m</w:t>
            </w:r>
            <w:r>
              <w:rPr>
                <w:sz w:val="22"/>
                <w:vertAlign w:val="superscript"/>
              </w:rPr>
              <w:t>3</w:t>
            </w:r>
            <w:r>
              <w:rPr>
                <w:sz w:val="22"/>
              </w:rPr>
              <w:t>/ngày đêm đến dưới 50.000 m</w:t>
            </w:r>
            <w:r>
              <w:rPr>
                <w:sz w:val="22"/>
                <w:vertAlign w:val="superscript"/>
              </w:rPr>
              <w:t>3</w:t>
            </w:r>
            <w:r>
              <w:rPr>
                <w:sz w:val="22"/>
              </w:rPr>
              <w:t>/ngày đêm</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Cs/>
                <w:sz w:val="22"/>
              </w:rPr>
              <w:t>đồng/hồ sơ</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sz w:val="22"/>
              </w:rPr>
              <w:t>10.900.000</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Cs/>
                <w:sz w:val="22"/>
              </w:rPr>
              <w:t>50%</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Cs/>
                <w:sz w:val="22"/>
              </w:rPr>
              <w:t>50%</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bCs/>
                <w:sz w:val="22"/>
              </w:rPr>
            </w:pPr>
            <w:r>
              <w:rPr>
                <w:rFonts w:eastAsia="Times New Roman"/>
                <w:b/>
                <w:sz w:val="22"/>
              </w:rPr>
              <w:t>2.2</w:t>
            </w: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sz w:val="22"/>
              </w:rPr>
            </w:pPr>
            <w:r>
              <w:rPr>
                <w:rFonts w:eastAsia="Times New Roman"/>
                <w:b/>
                <w:sz w:val="22"/>
              </w:rPr>
              <w:t>Thẩm định hồ sơ gia hạn, điều chỉnh giấy phép</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
                <w:sz w:val="22"/>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
                <w:sz w:val="22"/>
              </w:rPr>
              <w:t> </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
                <w:sz w:val="22"/>
              </w:rPr>
              <w:t> </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
                <w:sz w:val="22"/>
              </w:rPr>
              <w:t> </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sz w:val="22"/>
              </w:rPr>
            </w:pP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b/>
                <w:sz w:val="22"/>
              </w:rPr>
            </w:pPr>
            <w:r>
              <w:rPr>
                <w:rFonts w:eastAsia="Times New Roman"/>
                <w:sz w:val="22"/>
              </w:rPr>
              <w:t>Thẩm định đề án, báo cáo đối với trường hợp đề nghị gia hạn, điều chỉnh nội dung do chuyển nhượng giấy phép khai thác, sử dụng nước mặt</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sz w:val="22"/>
              </w:rPr>
            </w:pPr>
            <w:r>
              <w:rPr>
                <w:rFonts w:eastAsia="Times New Roman"/>
                <w:bCs/>
                <w:sz w:val="22"/>
              </w:rPr>
              <w:t>đồng/hồ sơ</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sz w:val="22"/>
              </w:rPr>
            </w:pPr>
            <w:r>
              <w:rPr>
                <w:rFonts w:eastAsia="Times New Roman"/>
                <w:sz w:val="22"/>
              </w:rPr>
              <w:t xml:space="preserve">Mức thu bằng 50% mức thu thẩm định theo quy định </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sz w:val="22"/>
              </w:rPr>
            </w:pPr>
            <w:r>
              <w:rPr>
                <w:rFonts w:eastAsia="Times New Roman"/>
                <w:bCs/>
                <w:sz w:val="22"/>
              </w:rPr>
              <w:t>50%</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sz w:val="22"/>
              </w:rPr>
            </w:pPr>
            <w:r>
              <w:rPr>
                <w:rFonts w:eastAsia="Times New Roman"/>
                <w:bCs/>
                <w:sz w:val="22"/>
              </w:rPr>
              <w:t>50%</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sz w:val="22"/>
              </w:rPr>
            </w:pPr>
            <w:r>
              <w:rPr>
                <w:rFonts w:eastAsia="Times New Roman"/>
                <w:b/>
                <w:sz w:val="22"/>
              </w:rPr>
              <w:t>2.3</w:t>
            </w: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sz w:val="22"/>
              </w:rPr>
            </w:pPr>
            <w:r>
              <w:rPr>
                <w:rFonts w:eastAsia="Times New Roman"/>
                <w:b/>
                <w:sz w:val="22"/>
              </w:rPr>
              <w:t>Thẩm định hồ sơ cấp lại giấy phép</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
                <w:sz w:val="22"/>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r>
              <w:rPr>
                <w:rFonts w:eastAsia="Times New Roman"/>
                <w:b/>
                <w:sz w:val="22"/>
              </w:rPr>
              <w:t> </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sz w:val="22"/>
              </w:rPr>
            </w:pP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b/>
                <w:bCs/>
                <w:sz w:val="22"/>
              </w:rPr>
            </w:pPr>
            <w:r>
              <w:rPr>
                <w:rFonts w:eastAsia="Times New Roman"/>
                <w:b/>
                <w:bCs/>
                <w:sz w:val="22"/>
              </w:rPr>
              <w:t> </w:t>
            </w:r>
          </w:p>
        </w:tc>
      </w:tr>
      <w:tr>
        <w:tblPrEx>
          <w:tblCellMar>
            <w:top w:w="0" w:type="dxa"/>
            <w:left w:w="108" w:type="dxa"/>
            <w:bottom w:w="0" w:type="dxa"/>
            <w:right w:w="108" w:type="dxa"/>
          </w:tblCellMar>
        </w:tblPrEx>
        <w:trPr>
          <w:trHeight w:val="300" w:hRule="atLeast"/>
        </w:trPr>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eastAsia="Times New Roman"/>
                <w:b/>
                <w:sz w:val="22"/>
              </w:rPr>
            </w:pPr>
          </w:p>
        </w:tc>
        <w:tc>
          <w:tcPr>
            <w:tcW w:w="371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eastAsia="Times New Roman"/>
                <w:b/>
                <w:sz w:val="22"/>
              </w:rPr>
            </w:pPr>
            <w:r>
              <w:rPr>
                <w:rFonts w:eastAsia="Times New Roman"/>
                <w:sz w:val="22"/>
              </w:rPr>
              <w:t>Thẩm định đề án, báo cáo đối với trường hợp đề nghị cấp lại do chuyển nhượng giấy phép khai thác, sử dụng nước mặt</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sz w:val="22"/>
              </w:rPr>
            </w:pPr>
            <w:r>
              <w:rPr>
                <w:rFonts w:eastAsia="Times New Roman"/>
                <w:sz w:val="22"/>
              </w:rPr>
              <w:t>đồng/hồ sơ</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sz w:val="22"/>
              </w:rPr>
            </w:pPr>
            <w:r>
              <w:rPr>
                <w:rFonts w:eastAsia="Times New Roman"/>
                <w:sz w:val="22"/>
              </w:rPr>
              <w:t>Mức thu bằng 50% mức thu thẩm định theo quy định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sz w:val="22"/>
              </w:rPr>
            </w:pPr>
            <w:r>
              <w:rPr>
                <w:rFonts w:eastAsia="Times New Roman"/>
                <w:bCs/>
                <w:sz w:val="22"/>
              </w:rPr>
              <w:t>50%</w:t>
            </w:r>
          </w:p>
        </w:tc>
        <w:tc>
          <w:tcPr>
            <w:tcW w:w="8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eastAsia="Times New Roman"/>
                <w:b/>
                <w:sz w:val="22"/>
              </w:rPr>
            </w:pPr>
            <w:r>
              <w:rPr>
                <w:rFonts w:eastAsia="Times New Roman"/>
                <w:bCs/>
                <w:sz w:val="22"/>
              </w:rPr>
              <w:t>50%</w:t>
            </w:r>
          </w:p>
        </w:tc>
        <w:tc>
          <w:tcPr>
            <w:tcW w:w="91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eastAsia="Times New Roman"/>
                <w:b/>
                <w:bCs/>
                <w:sz w:val="22"/>
              </w:rPr>
            </w:pPr>
            <w:r>
              <w:rPr>
                <w:rFonts w:eastAsia="Times New Roman"/>
                <w:b/>
                <w:bCs/>
                <w:sz w:val="22"/>
              </w:rPr>
              <w:t> </w:t>
            </w:r>
          </w:p>
        </w:tc>
      </w:tr>
    </w:tbl>
    <w:p/>
    <w:sectPr>
      <w:headerReference r:id="rId5" w:type="default"/>
      <w:pgSz w:w="11907" w:h="16840"/>
      <w:pgMar w:top="1134" w:right="1134" w:bottom="1134" w:left="1701" w:header="720" w:footer="720" w:gutter="0"/>
      <w:cols w:space="720"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0785931"/>
      <w:docPartObj>
        <w:docPartGallery w:val="AutoText"/>
      </w:docPartObj>
    </w:sdtPr>
    <w:sdtContent>
      <w:p>
        <w:pPr>
          <w:pStyle w:val="15"/>
          <w:jc w:val="center"/>
        </w:pPr>
        <w:r>
          <w:fldChar w:fldCharType="begin"/>
        </w:r>
        <w:r>
          <w:instrText xml:space="preserve"> PAGE   \* MERGEFORMAT </w:instrText>
        </w:r>
        <w:r>
          <w:fldChar w:fldCharType="separate"/>
        </w:r>
        <w:r>
          <w:t>3</w:t>
        </w:r>
        <w:r>
          <w:fldChar w:fldCharType="end"/>
        </w:r>
      </w:p>
    </w:sdtContent>
  </w:sdt>
  <w:p>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2"/>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DED"/>
    <w:rsid w:val="00030D1E"/>
    <w:rsid w:val="00033F49"/>
    <w:rsid w:val="000415C4"/>
    <w:rsid w:val="0007044E"/>
    <w:rsid w:val="00097409"/>
    <w:rsid w:val="000B7B47"/>
    <w:rsid w:val="000E1758"/>
    <w:rsid w:val="000E2A5A"/>
    <w:rsid w:val="00154DE9"/>
    <w:rsid w:val="00157CDA"/>
    <w:rsid w:val="00167C9D"/>
    <w:rsid w:val="001725C6"/>
    <w:rsid w:val="001B6190"/>
    <w:rsid w:val="001C5BED"/>
    <w:rsid w:val="00235E3D"/>
    <w:rsid w:val="002462E2"/>
    <w:rsid w:val="00262125"/>
    <w:rsid w:val="00292FBC"/>
    <w:rsid w:val="002D3CF3"/>
    <w:rsid w:val="0030074F"/>
    <w:rsid w:val="003274D1"/>
    <w:rsid w:val="00380CF8"/>
    <w:rsid w:val="003940A5"/>
    <w:rsid w:val="003A4D7B"/>
    <w:rsid w:val="003A716A"/>
    <w:rsid w:val="003B4723"/>
    <w:rsid w:val="003B763D"/>
    <w:rsid w:val="003D3175"/>
    <w:rsid w:val="003E2F75"/>
    <w:rsid w:val="003F326D"/>
    <w:rsid w:val="0040449C"/>
    <w:rsid w:val="00413C2B"/>
    <w:rsid w:val="00417ADD"/>
    <w:rsid w:val="00421C9C"/>
    <w:rsid w:val="00465506"/>
    <w:rsid w:val="004806BC"/>
    <w:rsid w:val="00484A3C"/>
    <w:rsid w:val="004A6012"/>
    <w:rsid w:val="004F39B8"/>
    <w:rsid w:val="004F3BD2"/>
    <w:rsid w:val="00570BE3"/>
    <w:rsid w:val="005829D9"/>
    <w:rsid w:val="00594A6C"/>
    <w:rsid w:val="00595F3F"/>
    <w:rsid w:val="005A05F7"/>
    <w:rsid w:val="006200DC"/>
    <w:rsid w:val="00643472"/>
    <w:rsid w:val="00656111"/>
    <w:rsid w:val="00656D66"/>
    <w:rsid w:val="006611A5"/>
    <w:rsid w:val="006D2E52"/>
    <w:rsid w:val="006D4A81"/>
    <w:rsid w:val="006E4D8F"/>
    <w:rsid w:val="00702E3B"/>
    <w:rsid w:val="007132E6"/>
    <w:rsid w:val="00741919"/>
    <w:rsid w:val="007429C2"/>
    <w:rsid w:val="00773EA4"/>
    <w:rsid w:val="00776540"/>
    <w:rsid w:val="007A7E53"/>
    <w:rsid w:val="007B09ED"/>
    <w:rsid w:val="007E10F8"/>
    <w:rsid w:val="007E23A3"/>
    <w:rsid w:val="007E7495"/>
    <w:rsid w:val="00822016"/>
    <w:rsid w:val="00842256"/>
    <w:rsid w:val="00852EB4"/>
    <w:rsid w:val="00854B3C"/>
    <w:rsid w:val="00857E6B"/>
    <w:rsid w:val="008701EB"/>
    <w:rsid w:val="0087316A"/>
    <w:rsid w:val="0087563D"/>
    <w:rsid w:val="00884DED"/>
    <w:rsid w:val="008914B6"/>
    <w:rsid w:val="008A024C"/>
    <w:rsid w:val="008A640B"/>
    <w:rsid w:val="008E58BA"/>
    <w:rsid w:val="0091257B"/>
    <w:rsid w:val="009130F5"/>
    <w:rsid w:val="00915752"/>
    <w:rsid w:val="009236C9"/>
    <w:rsid w:val="00932CCC"/>
    <w:rsid w:val="00966E0C"/>
    <w:rsid w:val="00995205"/>
    <w:rsid w:val="00A04B75"/>
    <w:rsid w:val="00A143D2"/>
    <w:rsid w:val="00A4013C"/>
    <w:rsid w:val="00A70C0D"/>
    <w:rsid w:val="00A76C84"/>
    <w:rsid w:val="00AC741A"/>
    <w:rsid w:val="00AE484C"/>
    <w:rsid w:val="00AF751A"/>
    <w:rsid w:val="00B14CC2"/>
    <w:rsid w:val="00B629F6"/>
    <w:rsid w:val="00B77FCB"/>
    <w:rsid w:val="00B80E0E"/>
    <w:rsid w:val="00B95366"/>
    <w:rsid w:val="00BA0527"/>
    <w:rsid w:val="00BA0ECA"/>
    <w:rsid w:val="00BA29F3"/>
    <w:rsid w:val="00BA6213"/>
    <w:rsid w:val="00BC00AE"/>
    <w:rsid w:val="00BC35E4"/>
    <w:rsid w:val="00BD1C24"/>
    <w:rsid w:val="00BF6D8F"/>
    <w:rsid w:val="00C46906"/>
    <w:rsid w:val="00C64843"/>
    <w:rsid w:val="00CB777A"/>
    <w:rsid w:val="00D1185B"/>
    <w:rsid w:val="00D174A4"/>
    <w:rsid w:val="00D238D5"/>
    <w:rsid w:val="00D85C64"/>
    <w:rsid w:val="00D9548C"/>
    <w:rsid w:val="00DF3986"/>
    <w:rsid w:val="00E34DA3"/>
    <w:rsid w:val="00E525F7"/>
    <w:rsid w:val="00E56C9E"/>
    <w:rsid w:val="00EA6869"/>
    <w:rsid w:val="00EB04FC"/>
    <w:rsid w:val="00EF0E74"/>
    <w:rsid w:val="00EF5642"/>
    <w:rsid w:val="00F056AC"/>
    <w:rsid w:val="00F32C1B"/>
    <w:rsid w:val="00F74D56"/>
    <w:rsid w:val="00FB6949"/>
    <w:rsid w:val="00FD4015"/>
    <w:rsid w:val="00FE5A90"/>
    <w:rsid w:val="1A612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Calibri" w:cs="Times New Roman"/>
      <w:sz w:val="28"/>
      <w:szCs w:val="22"/>
      <w:lang w:val="en-US" w:eastAsia="en-US" w:bidi="ar-SA"/>
    </w:rPr>
  </w:style>
  <w:style w:type="paragraph" w:styleId="2">
    <w:name w:val="heading 1"/>
    <w:basedOn w:val="1"/>
    <w:next w:val="1"/>
    <w:link w:val="20"/>
    <w:qFormat/>
    <w:uiPriority w:val="0"/>
    <w:pPr>
      <w:keepNext/>
      <w:spacing w:after="0" w:line="240" w:lineRule="auto"/>
      <w:outlineLvl w:val="0"/>
    </w:pPr>
    <w:rPr>
      <w:rFonts w:eastAsia="Times New Roman"/>
      <w:szCs w:val="24"/>
    </w:rPr>
  </w:style>
  <w:style w:type="paragraph" w:styleId="3">
    <w:name w:val="heading 2"/>
    <w:basedOn w:val="1"/>
    <w:next w:val="1"/>
    <w:link w:val="21"/>
    <w:qFormat/>
    <w:uiPriority w:val="0"/>
    <w:pPr>
      <w:keepNext/>
      <w:spacing w:after="0" w:line="240" w:lineRule="auto"/>
      <w:jc w:val="center"/>
      <w:outlineLvl w:val="1"/>
    </w:pPr>
    <w:rPr>
      <w:rFonts w:eastAsia="Times New Roman"/>
      <w:szCs w:val="24"/>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7"/>
    <w:semiHidden/>
    <w:uiPriority w:val="0"/>
    <w:pPr>
      <w:spacing w:after="0" w:line="240" w:lineRule="auto"/>
    </w:pPr>
    <w:rPr>
      <w:rFonts w:ascii="Tahoma" w:hAnsi="Tahoma" w:eastAsia="Times New Roman" w:cs="Tahoma"/>
      <w:sz w:val="16"/>
      <w:szCs w:val="16"/>
    </w:rPr>
  </w:style>
  <w:style w:type="paragraph" w:styleId="7">
    <w:name w:val="Body Text"/>
    <w:basedOn w:val="1"/>
    <w:link w:val="32"/>
    <w:uiPriority w:val="0"/>
    <w:pPr>
      <w:spacing w:after="120" w:line="240" w:lineRule="auto"/>
    </w:pPr>
    <w:rPr>
      <w:rFonts w:eastAsia="Times New Roman"/>
      <w:szCs w:val="28"/>
    </w:rPr>
  </w:style>
  <w:style w:type="paragraph" w:styleId="8">
    <w:name w:val="Body Text 2"/>
    <w:basedOn w:val="1"/>
    <w:link w:val="26"/>
    <w:uiPriority w:val="0"/>
    <w:pPr>
      <w:autoSpaceDE w:val="0"/>
      <w:autoSpaceDN w:val="0"/>
      <w:spacing w:before="120" w:after="120" w:line="240" w:lineRule="auto"/>
      <w:ind w:firstLine="720"/>
      <w:jc w:val="both"/>
    </w:pPr>
    <w:rPr>
      <w:rFonts w:ascii=".VnTime" w:hAnsi=".VnTime" w:eastAsia="Times New Roman"/>
      <w:szCs w:val="28"/>
    </w:rPr>
  </w:style>
  <w:style w:type="paragraph" w:styleId="9">
    <w:name w:val="Body Text Indent"/>
    <w:basedOn w:val="1"/>
    <w:link w:val="24"/>
    <w:uiPriority w:val="0"/>
    <w:pPr>
      <w:widowControl w:val="0"/>
      <w:spacing w:after="0" w:line="240" w:lineRule="auto"/>
      <w:ind w:firstLine="544"/>
      <w:jc w:val="both"/>
    </w:pPr>
    <w:rPr>
      <w:rFonts w:eastAsia="Times New Roman"/>
      <w:szCs w:val="28"/>
      <w:lang w:val="nl-NL" w:eastAsia="zh-CN"/>
    </w:rPr>
  </w:style>
  <w:style w:type="paragraph" w:styleId="10">
    <w:name w:val="Body Text Indent 2"/>
    <w:basedOn w:val="1"/>
    <w:link w:val="25"/>
    <w:qFormat/>
    <w:uiPriority w:val="0"/>
    <w:pPr>
      <w:spacing w:after="0" w:line="240" w:lineRule="auto"/>
      <w:ind w:firstLine="720"/>
      <w:jc w:val="both"/>
    </w:pPr>
    <w:rPr>
      <w:rFonts w:eastAsia="Times New Roman"/>
      <w:szCs w:val="24"/>
    </w:rPr>
  </w:style>
  <w:style w:type="character" w:styleId="11">
    <w:name w:val="FollowedHyperlink"/>
    <w:unhideWhenUsed/>
    <w:qFormat/>
    <w:uiPriority w:val="99"/>
    <w:rPr>
      <w:color w:val="954F72"/>
      <w:u w:val="single"/>
    </w:rPr>
  </w:style>
  <w:style w:type="paragraph" w:styleId="12">
    <w:name w:val="footer"/>
    <w:basedOn w:val="1"/>
    <w:link w:val="23"/>
    <w:unhideWhenUsed/>
    <w:qFormat/>
    <w:uiPriority w:val="99"/>
    <w:pPr>
      <w:tabs>
        <w:tab w:val="center" w:pos="4680"/>
        <w:tab w:val="right" w:pos="9360"/>
      </w:tabs>
      <w:spacing w:after="0" w:line="240" w:lineRule="auto"/>
    </w:pPr>
  </w:style>
  <w:style w:type="character" w:styleId="13">
    <w:name w:val="footnote reference"/>
    <w:qFormat/>
    <w:uiPriority w:val="0"/>
    <w:rPr>
      <w:vertAlign w:val="superscript"/>
    </w:rPr>
  </w:style>
  <w:style w:type="paragraph" w:styleId="14">
    <w:name w:val="footnote text"/>
    <w:basedOn w:val="1"/>
    <w:link w:val="33"/>
    <w:qFormat/>
    <w:uiPriority w:val="0"/>
    <w:pPr>
      <w:spacing w:after="0" w:line="240" w:lineRule="auto"/>
    </w:pPr>
    <w:rPr>
      <w:rFonts w:eastAsia="Times New Roman"/>
      <w:sz w:val="20"/>
      <w:szCs w:val="20"/>
    </w:rPr>
  </w:style>
  <w:style w:type="paragraph" w:styleId="15">
    <w:name w:val="header"/>
    <w:basedOn w:val="1"/>
    <w:link w:val="22"/>
    <w:unhideWhenUsed/>
    <w:uiPriority w:val="99"/>
    <w:pPr>
      <w:tabs>
        <w:tab w:val="center" w:pos="4680"/>
        <w:tab w:val="right" w:pos="9360"/>
      </w:tabs>
      <w:spacing w:after="0" w:line="240" w:lineRule="auto"/>
    </w:pPr>
  </w:style>
  <w:style w:type="character" w:styleId="16">
    <w:name w:val="Hyperlink"/>
    <w:unhideWhenUsed/>
    <w:uiPriority w:val="99"/>
    <w:rPr>
      <w:color w:val="0000FF"/>
      <w:u w:val="single"/>
    </w:rPr>
  </w:style>
  <w:style w:type="paragraph" w:styleId="17">
    <w:name w:val="Normal (Web)"/>
    <w:basedOn w:val="1"/>
    <w:uiPriority w:val="0"/>
    <w:pPr>
      <w:spacing w:before="100" w:beforeAutospacing="1" w:after="100" w:afterAutospacing="1" w:line="240" w:lineRule="auto"/>
    </w:pPr>
    <w:rPr>
      <w:rFonts w:eastAsia="Times New Roman"/>
      <w:sz w:val="24"/>
      <w:szCs w:val="24"/>
    </w:rPr>
  </w:style>
  <w:style w:type="character" w:styleId="18">
    <w:name w:val="Strong"/>
    <w:qFormat/>
    <w:uiPriority w:val="0"/>
    <w:rPr>
      <w:b/>
      <w:bCs/>
    </w:rPr>
  </w:style>
  <w:style w:type="table" w:styleId="19">
    <w:name w:val="Table Grid"/>
    <w:basedOn w:val="5"/>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Heading 1 Char"/>
    <w:basedOn w:val="4"/>
    <w:link w:val="2"/>
    <w:uiPriority w:val="0"/>
    <w:rPr>
      <w:rFonts w:eastAsia="Times New Roman"/>
      <w:sz w:val="28"/>
      <w:szCs w:val="24"/>
    </w:rPr>
  </w:style>
  <w:style w:type="character" w:customStyle="1" w:styleId="21">
    <w:name w:val="Heading 2 Char"/>
    <w:basedOn w:val="4"/>
    <w:link w:val="3"/>
    <w:uiPriority w:val="0"/>
    <w:rPr>
      <w:rFonts w:eastAsia="Times New Roman"/>
      <w:sz w:val="28"/>
      <w:szCs w:val="24"/>
    </w:rPr>
  </w:style>
  <w:style w:type="character" w:customStyle="1" w:styleId="22">
    <w:name w:val="Header Char"/>
    <w:basedOn w:val="4"/>
    <w:link w:val="15"/>
    <w:uiPriority w:val="99"/>
    <w:rPr>
      <w:sz w:val="28"/>
      <w:szCs w:val="22"/>
    </w:rPr>
  </w:style>
  <w:style w:type="character" w:customStyle="1" w:styleId="23">
    <w:name w:val="Footer Char"/>
    <w:basedOn w:val="4"/>
    <w:link w:val="12"/>
    <w:uiPriority w:val="99"/>
    <w:rPr>
      <w:sz w:val="28"/>
      <w:szCs w:val="22"/>
    </w:rPr>
  </w:style>
  <w:style w:type="character" w:customStyle="1" w:styleId="24">
    <w:name w:val="Body Text Indent Char"/>
    <w:basedOn w:val="4"/>
    <w:link w:val="9"/>
    <w:uiPriority w:val="0"/>
    <w:rPr>
      <w:rFonts w:eastAsia="Times New Roman"/>
      <w:sz w:val="28"/>
      <w:szCs w:val="28"/>
      <w:lang w:val="nl-NL" w:eastAsia="zh-CN"/>
    </w:rPr>
  </w:style>
  <w:style w:type="character" w:customStyle="1" w:styleId="25">
    <w:name w:val="Body Text Indent 2 Char"/>
    <w:basedOn w:val="4"/>
    <w:link w:val="10"/>
    <w:uiPriority w:val="0"/>
    <w:rPr>
      <w:rFonts w:eastAsia="Times New Roman"/>
      <w:sz w:val="28"/>
      <w:szCs w:val="24"/>
    </w:rPr>
  </w:style>
  <w:style w:type="character" w:customStyle="1" w:styleId="26">
    <w:name w:val="Body Text 2 Char"/>
    <w:basedOn w:val="4"/>
    <w:link w:val="8"/>
    <w:uiPriority w:val="0"/>
    <w:rPr>
      <w:rFonts w:ascii=".VnTime" w:hAnsi=".VnTime" w:eastAsia="Times New Roman"/>
      <w:sz w:val="28"/>
      <w:szCs w:val="28"/>
    </w:rPr>
  </w:style>
  <w:style w:type="character" w:customStyle="1" w:styleId="27">
    <w:name w:val="Balloon Text Char"/>
    <w:basedOn w:val="4"/>
    <w:link w:val="6"/>
    <w:semiHidden/>
    <w:qFormat/>
    <w:uiPriority w:val="0"/>
    <w:rPr>
      <w:rFonts w:ascii="Tahoma" w:hAnsi="Tahoma" w:eastAsia="Times New Roman" w:cs="Tahoma"/>
      <w:sz w:val="16"/>
      <w:szCs w:val="16"/>
    </w:rPr>
  </w:style>
  <w:style w:type="paragraph" w:customStyle="1" w:styleId="28">
    <w:name w:val="Char"/>
    <w:basedOn w:val="1"/>
    <w:uiPriority w:val="0"/>
    <w:pPr>
      <w:pageBreakBefore/>
      <w:spacing w:before="100" w:beforeAutospacing="1" w:after="100" w:afterAutospacing="1" w:line="240" w:lineRule="auto"/>
      <w:jc w:val="both"/>
    </w:pPr>
    <w:rPr>
      <w:rFonts w:ascii="Tahoma" w:hAnsi="Tahoma" w:eastAsia="Times New Roman"/>
      <w:sz w:val="20"/>
      <w:szCs w:val="20"/>
    </w:rPr>
  </w:style>
  <w:style w:type="paragraph" w:customStyle="1" w:styleId="29">
    <w:name w:val="bodytextindent"/>
    <w:basedOn w:val="1"/>
    <w:uiPriority w:val="0"/>
    <w:pPr>
      <w:spacing w:before="100" w:beforeAutospacing="1" w:after="100" w:afterAutospacing="1" w:line="240" w:lineRule="auto"/>
    </w:pPr>
    <w:rPr>
      <w:rFonts w:eastAsia="Times New Roman"/>
      <w:sz w:val="24"/>
      <w:szCs w:val="24"/>
    </w:rPr>
  </w:style>
  <w:style w:type="paragraph" w:customStyle="1" w:styleId="30">
    <w:name w:val="normalweb"/>
    <w:basedOn w:val="1"/>
    <w:qFormat/>
    <w:uiPriority w:val="0"/>
    <w:pPr>
      <w:spacing w:before="100" w:beforeAutospacing="1" w:after="100" w:afterAutospacing="1" w:line="240" w:lineRule="auto"/>
    </w:pPr>
    <w:rPr>
      <w:rFonts w:eastAsia="Times New Roman"/>
      <w:sz w:val="24"/>
      <w:szCs w:val="24"/>
    </w:rPr>
  </w:style>
  <w:style w:type="character" w:customStyle="1" w:styleId="31">
    <w:name w:val="apple-converted-space"/>
    <w:uiPriority w:val="0"/>
  </w:style>
  <w:style w:type="character" w:customStyle="1" w:styleId="32">
    <w:name w:val="Body Text Char"/>
    <w:basedOn w:val="4"/>
    <w:link w:val="7"/>
    <w:qFormat/>
    <w:uiPriority w:val="0"/>
    <w:rPr>
      <w:rFonts w:eastAsia="Times New Roman"/>
      <w:sz w:val="28"/>
      <w:szCs w:val="28"/>
    </w:rPr>
  </w:style>
  <w:style w:type="character" w:customStyle="1" w:styleId="33">
    <w:name w:val="Footnote Text Char"/>
    <w:basedOn w:val="4"/>
    <w:link w:val="14"/>
    <w:uiPriority w:val="0"/>
    <w:rPr>
      <w:rFonts w:eastAsia="Times New Roman"/>
    </w:rPr>
  </w:style>
  <w:style w:type="paragraph" w:styleId="3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notes" Target="footnotes.xml"/><Relationship Id="rId7" Type="http://schemas.openxmlformats.org/officeDocument/2006/relationships/customXml" Target="../customXml/item1.xml"/><Relationship Id="rId2"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styles" Target="styles.xml"/><Relationship Id="rId11" Type="http://schemas.openxmlformats.org/officeDocument/2006/relationships/customXml" Target="../customXml/item4.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endnotes" Target="end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D50DC1-2FEF-4A3C-9A06-91E95E433366}"/>
</file>

<file path=customXml/itemProps3.xml><?xml version="1.0" encoding="utf-8"?>
<ds:datastoreItem xmlns:ds="http://schemas.openxmlformats.org/officeDocument/2006/customXml" ds:itemID="{0844AB5C-58EA-4FD9-99E6-0267EB896143}"/>
</file>

<file path=customXml/itemProps4.xml><?xml version="1.0" encoding="utf-8"?>
<ds:datastoreItem xmlns:ds="http://schemas.openxmlformats.org/officeDocument/2006/customXml" ds:itemID="{39D525D0-67F6-4D3D-A80F-94DFD2E26185}"/>
</file>

<file path=docProps/app.xml><?xml version="1.0" encoding="utf-8"?>
<Properties xmlns="http://schemas.openxmlformats.org/officeDocument/2006/extended-properties" xmlns:vt="http://schemas.openxmlformats.org/officeDocument/2006/docPropsVTypes">
  <Template>Normal</Template>
  <Company>Microsoft</Company>
  <Pages>3</Pages>
  <Words>837</Words>
  <Characters>4773</Characters>
  <Lines>39</Lines>
  <Paragraphs>11</Paragraphs>
  <TotalTime>134</TotalTime>
  <ScaleCrop>false</ScaleCrop>
  <LinksUpToDate>false</LinksUpToDate>
  <CharactersWithSpaces>5599</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trangvo</cp:lastModifiedBy>
  <cp:revision>107</cp:revision>
  <dcterms:created xsi:type="dcterms:W3CDTF">2020-07-13T01:46:00Z</dcterms:created>
  <dcterms:modified xsi:type="dcterms:W3CDTF">2022-07-13T07:50:50Z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EBCD44A158D541569FCAEA7BC4B1B290</vt:lpwstr>
  </property>
</Properties>
</file>